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829" w:tblpY="361"/>
        <w:tblW w:w="14167" w:type="dxa"/>
        <w:tblLook w:val="04A0" w:firstRow="1" w:lastRow="0" w:firstColumn="1" w:lastColumn="0" w:noHBand="0" w:noVBand="1"/>
      </w:tblPr>
      <w:tblGrid>
        <w:gridCol w:w="14167"/>
      </w:tblGrid>
      <w:tr w:rsidR="001E602D" w:rsidRPr="001E602D" w14:paraId="37034601" w14:textId="77777777" w:rsidTr="001E602D">
        <w:trPr>
          <w:trHeight w:val="488"/>
        </w:trPr>
        <w:tc>
          <w:tcPr>
            <w:tcW w:w="14167" w:type="dxa"/>
            <w:shd w:val="clear" w:color="auto" w:fill="CCFFCC"/>
          </w:tcPr>
          <w:p w14:paraId="001B6BCD" w14:textId="77777777" w:rsidR="001E602D" w:rsidRPr="001E602D" w:rsidRDefault="001E602D" w:rsidP="001E602D">
            <w:pPr>
              <w:rPr>
                <w:b/>
                <w:sz w:val="36"/>
              </w:rPr>
            </w:pPr>
            <w:r w:rsidRPr="001E602D">
              <w:rPr>
                <w:b/>
                <w:sz w:val="36"/>
              </w:rPr>
              <w:t xml:space="preserve">       Criteria for Assessments</w:t>
            </w:r>
          </w:p>
        </w:tc>
      </w:tr>
      <w:tr w:rsidR="001E602D" w14:paraId="4E8FC422" w14:textId="77777777" w:rsidTr="001E602D">
        <w:trPr>
          <w:trHeight w:val="501"/>
        </w:trPr>
        <w:tc>
          <w:tcPr>
            <w:tcW w:w="14167" w:type="dxa"/>
          </w:tcPr>
          <w:p w14:paraId="13A1667D" w14:textId="77777777" w:rsidR="001E602D" w:rsidRPr="008E05E9" w:rsidRDefault="001E602D" w:rsidP="001E602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E05E9">
              <w:rPr>
                <w:sz w:val="20"/>
              </w:rPr>
              <w:t xml:space="preserve">Summative assessments measure attainment of the </w:t>
            </w:r>
            <w:r>
              <w:rPr>
                <w:sz w:val="20"/>
              </w:rPr>
              <w:t>central idea</w:t>
            </w:r>
            <w:r w:rsidRPr="008E05E9">
              <w:rPr>
                <w:sz w:val="20"/>
              </w:rPr>
              <w:t xml:space="preserve">  </w:t>
            </w:r>
          </w:p>
          <w:p w14:paraId="31E58E45" w14:textId="77777777" w:rsidR="001E602D" w:rsidRPr="008E05E9" w:rsidRDefault="001E602D" w:rsidP="001E602D">
            <w:pPr>
              <w:rPr>
                <w:sz w:val="20"/>
              </w:rPr>
            </w:pPr>
            <w:r w:rsidRPr="008E05E9">
              <w:rPr>
                <w:sz w:val="20"/>
              </w:rPr>
              <w:t xml:space="preserve"> </w:t>
            </w:r>
          </w:p>
        </w:tc>
      </w:tr>
      <w:tr w:rsidR="001E602D" w14:paraId="0991C6A2" w14:textId="77777777" w:rsidTr="001E602D">
        <w:trPr>
          <w:trHeight w:val="501"/>
        </w:trPr>
        <w:tc>
          <w:tcPr>
            <w:tcW w:w="14167" w:type="dxa"/>
          </w:tcPr>
          <w:p w14:paraId="7C6428BC" w14:textId="77777777" w:rsidR="001E602D" w:rsidRPr="008E05E9" w:rsidRDefault="001E602D" w:rsidP="001E602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E05E9">
              <w:rPr>
                <w:sz w:val="20"/>
              </w:rPr>
              <w:t xml:space="preserve">Attainment of enabling knowledge and skills </w:t>
            </w:r>
            <w:r>
              <w:rPr>
                <w:sz w:val="20"/>
              </w:rPr>
              <w:t xml:space="preserve">outlined by the lines of inquiry </w:t>
            </w:r>
            <w:r w:rsidRPr="008E05E9">
              <w:rPr>
                <w:sz w:val="20"/>
              </w:rPr>
              <w:t>are measured through formative assessments</w:t>
            </w:r>
          </w:p>
          <w:p w14:paraId="297BB314" w14:textId="77777777" w:rsidR="001E602D" w:rsidRPr="008E05E9" w:rsidRDefault="001E602D" w:rsidP="001E602D">
            <w:pPr>
              <w:pStyle w:val="ListParagraph"/>
              <w:ind w:left="1015"/>
              <w:rPr>
                <w:sz w:val="20"/>
              </w:rPr>
            </w:pPr>
          </w:p>
        </w:tc>
      </w:tr>
      <w:tr w:rsidR="001E602D" w14:paraId="16022F31" w14:textId="77777777" w:rsidTr="001E602D">
        <w:trPr>
          <w:trHeight w:val="461"/>
        </w:trPr>
        <w:tc>
          <w:tcPr>
            <w:tcW w:w="14167" w:type="dxa"/>
          </w:tcPr>
          <w:p w14:paraId="387DE974" w14:textId="77777777" w:rsidR="001E602D" w:rsidRPr="008E05E9" w:rsidRDefault="001E602D" w:rsidP="001E602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E05E9">
              <w:rPr>
                <w:sz w:val="20"/>
              </w:rPr>
              <w:t>Assessments are differentiated or open-ended so that ALL students can demonstrate their understanding</w:t>
            </w:r>
          </w:p>
          <w:p w14:paraId="5171CE3F" w14:textId="77777777" w:rsidR="001E602D" w:rsidRPr="008E05E9" w:rsidRDefault="001E602D" w:rsidP="001E602D">
            <w:pPr>
              <w:pStyle w:val="ListParagraph"/>
              <w:ind w:left="1015"/>
              <w:rPr>
                <w:sz w:val="20"/>
              </w:rPr>
            </w:pPr>
          </w:p>
        </w:tc>
      </w:tr>
      <w:tr w:rsidR="001E602D" w14:paraId="1B9FA685" w14:textId="77777777" w:rsidTr="001E602D">
        <w:trPr>
          <w:trHeight w:val="746"/>
        </w:trPr>
        <w:tc>
          <w:tcPr>
            <w:tcW w:w="14167" w:type="dxa"/>
          </w:tcPr>
          <w:p w14:paraId="6CD91848" w14:textId="77777777" w:rsidR="001E602D" w:rsidRPr="008E05E9" w:rsidRDefault="001E602D" w:rsidP="001E602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E05E9">
              <w:rPr>
                <w:sz w:val="20"/>
              </w:rPr>
              <w:t xml:space="preserve">A variety of formative and summative assessment methods are present in the unit of study i.e. </w:t>
            </w:r>
            <w:r>
              <w:rPr>
                <w:sz w:val="20"/>
              </w:rPr>
              <w:t>products</w:t>
            </w:r>
            <w:r w:rsidRPr="008E05E9">
              <w:rPr>
                <w:sz w:val="20"/>
              </w:rPr>
              <w:t>,</w:t>
            </w:r>
            <w:r>
              <w:rPr>
                <w:sz w:val="20"/>
              </w:rPr>
              <w:t xml:space="preserve"> observations, conversations</w:t>
            </w:r>
            <w:r w:rsidRPr="008E05E9">
              <w:rPr>
                <w:sz w:val="20"/>
              </w:rPr>
              <w:t xml:space="preserve"> etc.</w:t>
            </w:r>
          </w:p>
          <w:p w14:paraId="5F8565CF" w14:textId="77777777" w:rsidR="001E602D" w:rsidRPr="008E05E9" w:rsidRDefault="001E602D" w:rsidP="001E602D">
            <w:pPr>
              <w:pStyle w:val="ListParagraph"/>
              <w:ind w:left="1015"/>
              <w:rPr>
                <w:sz w:val="20"/>
              </w:rPr>
            </w:pPr>
          </w:p>
        </w:tc>
      </w:tr>
      <w:tr w:rsidR="001E602D" w14:paraId="167ED8A1" w14:textId="77777777" w:rsidTr="001E602D">
        <w:trPr>
          <w:trHeight w:val="501"/>
        </w:trPr>
        <w:tc>
          <w:tcPr>
            <w:tcW w:w="14167" w:type="dxa"/>
          </w:tcPr>
          <w:p w14:paraId="56C3FA81" w14:textId="77777777" w:rsidR="001E602D" w:rsidRPr="008E05E9" w:rsidRDefault="001E602D" w:rsidP="001E602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E05E9">
              <w:rPr>
                <w:sz w:val="20"/>
              </w:rPr>
              <w:t>Technology is meaningfully infused into at least one assessment</w:t>
            </w:r>
          </w:p>
          <w:p w14:paraId="376E1DED" w14:textId="77777777" w:rsidR="001E602D" w:rsidRPr="008E05E9" w:rsidRDefault="001E602D" w:rsidP="001E602D">
            <w:pPr>
              <w:rPr>
                <w:b/>
                <w:sz w:val="20"/>
              </w:rPr>
            </w:pPr>
          </w:p>
        </w:tc>
      </w:tr>
      <w:tr w:rsidR="001E602D" w14:paraId="0CF36790" w14:textId="77777777" w:rsidTr="001E602D">
        <w:trPr>
          <w:trHeight w:val="501"/>
        </w:trPr>
        <w:tc>
          <w:tcPr>
            <w:tcW w:w="14167" w:type="dxa"/>
          </w:tcPr>
          <w:p w14:paraId="1B494F90" w14:textId="77777777" w:rsidR="001E602D" w:rsidRPr="008E05E9" w:rsidRDefault="001E602D" w:rsidP="001E602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E05E9">
              <w:rPr>
                <w:sz w:val="20"/>
              </w:rPr>
              <w:t>There is a balance of formative and summative assessment in the unit</w:t>
            </w:r>
          </w:p>
          <w:p w14:paraId="667E0E31" w14:textId="77777777" w:rsidR="001E602D" w:rsidRPr="008E05E9" w:rsidRDefault="001E602D" w:rsidP="001E602D">
            <w:pPr>
              <w:rPr>
                <w:b/>
                <w:sz w:val="20"/>
              </w:rPr>
            </w:pPr>
          </w:p>
        </w:tc>
      </w:tr>
      <w:tr w:rsidR="001E602D" w14:paraId="600F3841" w14:textId="77777777" w:rsidTr="001E602D">
        <w:trPr>
          <w:trHeight w:val="469"/>
        </w:trPr>
        <w:tc>
          <w:tcPr>
            <w:tcW w:w="14167" w:type="dxa"/>
          </w:tcPr>
          <w:p w14:paraId="70D8B928" w14:textId="77777777" w:rsidR="001E602D" w:rsidRPr="008E05E9" w:rsidRDefault="001E602D" w:rsidP="001E602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E05E9">
              <w:rPr>
                <w:sz w:val="20"/>
              </w:rPr>
              <w:t>Summative assessments ask students to transfer their learning to new situations, thus requiring the use of higher order thinking skills</w:t>
            </w:r>
          </w:p>
          <w:p w14:paraId="45441610" w14:textId="77777777" w:rsidR="001E602D" w:rsidRPr="008E05E9" w:rsidRDefault="001E602D" w:rsidP="001E602D">
            <w:pPr>
              <w:rPr>
                <w:b/>
                <w:sz w:val="20"/>
              </w:rPr>
            </w:pPr>
          </w:p>
        </w:tc>
      </w:tr>
      <w:tr w:rsidR="001E602D" w14:paraId="55D25943" w14:textId="77777777" w:rsidTr="001E602D">
        <w:trPr>
          <w:trHeight w:val="534"/>
        </w:trPr>
        <w:tc>
          <w:tcPr>
            <w:tcW w:w="14167" w:type="dxa"/>
          </w:tcPr>
          <w:p w14:paraId="42EE0AA7" w14:textId="77777777" w:rsidR="001E602D" w:rsidRPr="008E05E9" w:rsidRDefault="001E602D" w:rsidP="001E602D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8E05E9">
              <w:rPr>
                <w:sz w:val="20"/>
              </w:rPr>
              <w:t>Different methods of assessment are present:  self-assessment, peer assessment, teacher assessment, other</w:t>
            </w:r>
          </w:p>
          <w:p w14:paraId="411B77DE" w14:textId="77777777" w:rsidR="001E602D" w:rsidRPr="008E05E9" w:rsidRDefault="001E602D" w:rsidP="001E602D">
            <w:pPr>
              <w:rPr>
                <w:b/>
                <w:sz w:val="20"/>
              </w:rPr>
            </w:pPr>
          </w:p>
        </w:tc>
      </w:tr>
      <w:tr w:rsidR="001E602D" w14:paraId="6D54B26F" w14:textId="77777777" w:rsidTr="001E602D">
        <w:trPr>
          <w:trHeight w:val="746"/>
        </w:trPr>
        <w:tc>
          <w:tcPr>
            <w:tcW w:w="14167" w:type="dxa"/>
          </w:tcPr>
          <w:p w14:paraId="01B74279" w14:textId="77777777" w:rsidR="001E602D" w:rsidRPr="008E05E9" w:rsidRDefault="001E602D" w:rsidP="001E602D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 w:rsidRPr="008E05E9">
              <w:rPr>
                <w:sz w:val="20"/>
              </w:rPr>
              <w:t>At least one summative assessment is present that provides students with the opportunity to transfer their learning through authentic performance</w:t>
            </w:r>
          </w:p>
          <w:p w14:paraId="6E7DDB58" w14:textId="77777777" w:rsidR="001E602D" w:rsidRPr="008E05E9" w:rsidRDefault="001E602D" w:rsidP="001E602D">
            <w:pPr>
              <w:pStyle w:val="ListParagraph"/>
              <w:ind w:left="1015"/>
              <w:rPr>
                <w:sz w:val="20"/>
              </w:rPr>
            </w:pPr>
          </w:p>
        </w:tc>
      </w:tr>
      <w:tr w:rsidR="001E602D" w14:paraId="5D39F14B" w14:textId="77777777" w:rsidTr="001E602D">
        <w:trPr>
          <w:trHeight w:val="420"/>
        </w:trPr>
        <w:tc>
          <w:tcPr>
            <w:tcW w:w="14167" w:type="dxa"/>
          </w:tcPr>
          <w:p w14:paraId="654E39A5" w14:textId="77777777" w:rsidR="001E602D" w:rsidRPr="008E05E9" w:rsidRDefault="001E602D" w:rsidP="001E602D">
            <w:pPr>
              <w:pStyle w:val="ListParagraph"/>
              <w:numPr>
                <w:ilvl w:val="0"/>
                <w:numId w:val="8"/>
              </w:numPr>
              <w:rPr>
                <w:sz w:val="20"/>
              </w:rPr>
            </w:pPr>
            <w:r>
              <w:rPr>
                <w:sz w:val="20"/>
              </w:rPr>
              <w:t>T</w:t>
            </w:r>
            <w:r w:rsidRPr="008E05E9">
              <w:rPr>
                <w:sz w:val="20"/>
              </w:rPr>
              <w:t>riang</w:t>
            </w:r>
            <w:r>
              <w:rPr>
                <w:sz w:val="20"/>
              </w:rPr>
              <w:t>ulation of evidence is apparent</w:t>
            </w:r>
          </w:p>
          <w:p w14:paraId="05064962" w14:textId="77777777" w:rsidR="001E602D" w:rsidRPr="008E05E9" w:rsidRDefault="001E602D" w:rsidP="001E602D">
            <w:pPr>
              <w:pStyle w:val="ListParagraph"/>
              <w:ind w:left="1015"/>
              <w:rPr>
                <w:sz w:val="20"/>
              </w:rPr>
            </w:pPr>
          </w:p>
        </w:tc>
      </w:tr>
    </w:tbl>
    <w:p w14:paraId="06EEAE5D" w14:textId="77777777" w:rsidR="00DB6835" w:rsidRDefault="00DB6835" w:rsidP="001E602D">
      <w:pPr>
        <w:rPr>
          <w:sz w:val="20"/>
          <w:szCs w:val="20"/>
        </w:rPr>
      </w:pPr>
    </w:p>
    <w:p w14:paraId="08F796A3" w14:textId="77777777" w:rsidR="001E602D" w:rsidRPr="001E602D" w:rsidRDefault="001E602D" w:rsidP="001E602D">
      <w:pPr>
        <w:pStyle w:val="normal0"/>
        <w:rPr>
          <w:rFonts w:ascii="Century Gothic" w:hAnsi="Century Gothic"/>
          <w:b/>
          <w:i/>
          <w:sz w:val="32"/>
          <w:u w:val="single"/>
        </w:rPr>
      </w:pPr>
      <w:r w:rsidRPr="001E602D">
        <w:rPr>
          <w:rFonts w:ascii="Century Gothic" w:hAnsi="Century Gothic"/>
          <w:b/>
          <w:i/>
          <w:sz w:val="32"/>
          <w:u w:val="single"/>
        </w:rPr>
        <w:t>Apply the Two-Question Validity Test (source:  UBD high, p. 91)</w:t>
      </w:r>
    </w:p>
    <w:p w14:paraId="4F636921" w14:textId="77777777" w:rsidR="001E602D" w:rsidRPr="001E602D" w:rsidRDefault="001E602D" w:rsidP="001E602D">
      <w:pPr>
        <w:pStyle w:val="normal0"/>
        <w:rPr>
          <w:rFonts w:ascii="Century Gothic" w:hAnsi="Century Gothic"/>
        </w:rPr>
      </w:pPr>
    </w:p>
    <w:p w14:paraId="1D5A9C98" w14:textId="77777777" w:rsidR="001E602D" w:rsidRPr="001E602D" w:rsidRDefault="001E602D" w:rsidP="001E602D">
      <w:pPr>
        <w:pStyle w:val="normal0"/>
        <w:rPr>
          <w:rFonts w:ascii="Century Gothic" w:hAnsi="Century Gothic"/>
          <w:b/>
        </w:rPr>
      </w:pPr>
      <w:r w:rsidRPr="001E602D">
        <w:rPr>
          <w:rFonts w:ascii="Century Gothic" w:hAnsi="Century Gothic"/>
          <w:b/>
        </w:rPr>
        <w:t xml:space="preserve">How likely is it that a student could do well on the assessment </w:t>
      </w:r>
      <w:proofErr w:type="gramStart"/>
      <w:r w:rsidRPr="001E602D">
        <w:rPr>
          <w:rFonts w:ascii="Century Gothic" w:hAnsi="Century Gothic"/>
          <w:b/>
        </w:rPr>
        <w:t>by:</w:t>
      </w:r>
      <w:proofErr w:type="gramEnd"/>
    </w:p>
    <w:p w14:paraId="38364198" w14:textId="77777777" w:rsidR="001E602D" w:rsidRPr="001E602D" w:rsidRDefault="001E602D" w:rsidP="001E602D">
      <w:pPr>
        <w:pStyle w:val="normal0"/>
        <w:numPr>
          <w:ilvl w:val="0"/>
          <w:numId w:val="9"/>
        </w:numPr>
        <w:ind w:hanging="360"/>
        <w:rPr>
          <w:rFonts w:ascii="Century Gothic" w:hAnsi="Century Gothic"/>
        </w:rPr>
      </w:pPr>
      <w:proofErr w:type="gramStart"/>
      <w:r w:rsidRPr="001E602D">
        <w:rPr>
          <w:rFonts w:ascii="Century Gothic" w:hAnsi="Century Gothic"/>
        </w:rPr>
        <w:t>making</w:t>
      </w:r>
      <w:proofErr w:type="gramEnd"/>
      <w:r w:rsidRPr="001E602D">
        <w:rPr>
          <w:rFonts w:ascii="Century Gothic" w:hAnsi="Century Gothic"/>
        </w:rPr>
        <w:t xml:space="preserve"> clever guesses, parroting back, or “plugging in” what was learned, perhaps with accurate recall but limited or no understanding?</w:t>
      </w:r>
    </w:p>
    <w:p w14:paraId="147F3DE9" w14:textId="77777777" w:rsidR="001E602D" w:rsidRPr="001E602D" w:rsidRDefault="001E602D" w:rsidP="001E602D">
      <w:pPr>
        <w:pStyle w:val="normal0"/>
        <w:numPr>
          <w:ilvl w:val="0"/>
          <w:numId w:val="9"/>
        </w:numPr>
        <w:ind w:hanging="360"/>
        <w:rPr>
          <w:rFonts w:ascii="Century Gothic" w:hAnsi="Century Gothic"/>
        </w:rPr>
      </w:pPr>
      <w:proofErr w:type="gramStart"/>
      <w:r w:rsidRPr="001E602D">
        <w:rPr>
          <w:rFonts w:ascii="Century Gothic" w:hAnsi="Century Gothic"/>
        </w:rPr>
        <w:t>making</w:t>
      </w:r>
      <w:proofErr w:type="gramEnd"/>
      <w:r w:rsidRPr="001E602D">
        <w:rPr>
          <w:rFonts w:ascii="Century Gothic" w:hAnsi="Century Gothic"/>
        </w:rPr>
        <w:t xml:space="preserve"> a good-faith effort, with lots of hard work and enthusiasm, but with limited understanding?</w:t>
      </w:r>
    </w:p>
    <w:p w14:paraId="7076D761" w14:textId="77777777" w:rsidR="001E602D" w:rsidRDefault="001E602D" w:rsidP="001E602D">
      <w:pPr>
        <w:pStyle w:val="normal0"/>
        <w:numPr>
          <w:ilvl w:val="0"/>
          <w:numId w:val="9"/>
        </w:numPr>
        <w:ind w:hanging="360"/>
        <w:rPr>
          <w:rFonts w:ascii="Century Gothic" w:hAnsi="Century Gothic"/>
        </w:rPr>
      </w:pPr>
      <w:proofErr w:type="gramStart"/>
      <w:r w:rsidRPr="001E602D">
        <w:rPr>
          <w:rFonts w:ascii="Century Gothic" w:hAnsi="Century Gothic"/>
        </w:rPr>
        <w:t>producing</w:t>
      </w:r>
      <w:proofErr w:type="gramEnd"/>
      <w:r w:rsidRPr="001E602D">
        <w:rPr>
          <w:rFonts w:ascii="Century Gothic" w:hAnsi="Century Gothic"/>
        </w:rPr>
        <w:t xml:space="preserve"> a lovely product or an engaging and articulate performance, but with limited understanding?</w:t>
      </w:r>
    </w:p>
    <w:p w14:paraId="12EAA909" w14:textId="77777777" w:rsidR="001E602D" w:rsidRPr="001E602D" w:rsidRDefault="001E602D" w:rsidP="001E602D">
      <w:pPr>
        <w:pStyle w:val="normal0"/>
        <w:ind w:left="720"/>
        <w:rPr>
          <w:rFonts w:ascii="Century Gothic" w:hAnsi="Century Gothic"/>
        </w:rPr>
      </w:pPr>
      <w:bookmarkStart w:id="0" w:name="_GoBack"/>
      <w:bookmarkEnd w:id="0"/>
    </w:p>
    <w:p w14:paraId="1A3185DF" w14:textId="77777777" w:rsidR="001E602D" w:rsidRPr="001E602D" w:rsidRDefault="001E602D" w:rsidP="001E602D">
      <w:pPr>
        <w:pStyle w:val="normal0"/>
        <w:rPr>
          <w:rFonts w:ascii="Century Gothic" w:hAnsi="Century Gothic"/>
          <w:b/>
        </w:rPr>
      </w:pPr>
      <w:r w:rsidRPr="001E602D">
        <w:rPr>
          <w:rFonts w:ascii="Century Gothic" w:hAnsi="Century Gothic"/>
          <w:b/>
        </w:rPr>
        <w:t xml:space="preserve">How likely is it that a student could do poorly on the assessment </w:t>
      </w:r>
      <w:proofErr w:type="gramStart"/>
      <w:r w:rsidRPr="001E602D">
        <w:rPr>
          <w:rFonts w:ascii="Century Gothic" w:hAnsi="Century Gothic"/>
          <w:b/>
        </w:rPr>
        <w:t>by:</w:t>
      </w:r>
      <w:proofErr w:type="gramEnd"/>
    </w:p>
    <w:p w14:paraId="78E9898F" w14:textId="77777777" w:rsidR="001E602D" w:rsidRPr="001E602D" w:rsidRDefault="001E602D" w:rsidP="001E602D">
      <w:pPr>
        <w:pStyle w:val="normal0"/>
        <w:numPr>
          <w:ilvl w:val="0"/>
          <w:numId w:val="10"/>
        </w:numPr>
        <w:ind w:hanging="360"/>
        <w:rPr>
          <w:rFonts w:ascii="Century Gothic" w:hAnsi="Century Gothic"/>
        </w:rPr>
      </w:pPr>
      <w:proofErr w:type="gramStart"/>
      <w:r w:rsidRPr="001E602D">
        <w:rPr>
          <w:rFonts w:ascii="Century Gothic" w:hAnsi="Century Gothic"/>
        </w:rPr>
        <w:t>failing</w:t>
      </w:r>
      <w:proofErr w:type="gramEnd"/>
      <w:r w:rsidRPr="001E602D">
        <w:rPr>
          <w:rFonts w:ascii="Century Gothic" w:hAnsi="Century Gothic"/>
        </w:rPr>
        <w:t xml:space="preserve"> to meet the requirements of this particular task while nonetheless revealing a good understanding of the ideas?</w:t>
      </w:r>
    </w:p>
    <w:p w14:paraId="5E84832C" w14:textId="3ADD0236" w:rsidR="001E602D" w:rsidRPr="001E602D" w:rsidRDefault="001E602D" w:rsidP="001E602D">
      <w:pPr>
        <w:pStyle w:val="normal0"/>
        <w:numPr>
          <w:ilvl w:val="0"/>
          <w:numId w:val="10"/>
        </w:numPr>
        <w:ind w:hanging="360"/>
        <w:rPr>
          <w:rFonts w:ascii="Century Gothic" w:hAnsi="Century Gothic"/>
        </w:rPr>
      </w:pPr>
      <w:proofErr w:type="gramStart"/>
      <w:r w:rsidRPr="001E602D">
        <w:rPr>
          <w:rFonts w:ascii="Century Gothic" w:hAnsi="Century Gothic"/>
        </w:rPr>
        <w:lastRenderedPageBreak/>
        <w:t>not</w:t>
      </w:r>
      <w:proofErr w:type="gramEnd"/>
      <w:r w:rsidRPr="001E602D">
        <w:rPr>
          <w:rFonts w:ascii="Century Gothic" w:hAnsi="Century Gothic"/>
        </w:rPr>
        <w:t xml:space="preserve"> being skilled at certain aspects of the task, but those skills are not central to the goal or involve outside learning or natural talent (</w:t>
      </w:r>
      <w:proofErr w:type="spellStart"/>
      <w:r w:rsidRPr="001E602D">
        <w:rPr>
          <w:rFonts w:ascii="Century Gothic" w:hAnsi="Century Gothic"/>
        </w:rPr>
        <w:t>eg</w:t>
      </w:r>
      <w:proofErr w:type="spellEnd"/>
      <w:r w:rsidRPr="001E602D">
        <w:rPr>
          <w:rFonts w:ascii="Century Gothic" w:hAnsi="Century Gothic"/>
        </w:rPr>
        <w:t>. require acting or computer ability unrelated to Stage 1 goals)?</w:t>
      </w:r>
    </w:p>
    <w:sectPr w:rsidR="001E602D" w:rsidRPr="001E602D" w:rsidSect="001E60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7D1"/>
    <w:multiLevelType w:val="hybridMultilevel"/>
    <w:tmpl w:val="7E342ED8"/>
    <w:lvl w:ilvl="0" w:tplc="0409000B">
      <w:start w:val="1"/>
      <w:numFmt w:val="bullet"/>
      <w:lvlText w:val=""/>
      <w:lvlJc w:val="left"/>
      <w:pPr>
        <w:ind w:left="10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">
    <w:nsid w:val="14EA0E3B"/>
    <w:multiLevelType w:val="hybridMultilevel"/>
    <w:tmpl w:val="1BF6F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4384C"/>
    <w:multiLevelType w:val="hybridMultilevel"/>
    <w:tmpl w:val="D708E4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4540F"/>
    <w:multiLevelType w:val="hybridMultilevel"/>
    <w:tmpl w:val="8520A234"/>
    <w:lvl w:ilvl="0" w:tplc="040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>
    <w:nsid w:val="2EC32136"/>
    <w:multiLevelType w:val="multilevel"/>
    <w:tmpl w:val="D708E48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1347F"/>
    <w:multiLevelType w:val="hybridMultilevel"/>
    <w:tmpl w:val="45B233D2"/>
    <w:lvl w:ilvl="0" w:tplc="040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6">
    <w:nsid w:val="45D42179"/>
    <w:multiLevelType w:val="multilevel"/>
    <w:tmpl w:val="BAD65568"/>
    <w:lvl w:ilvl="0">
      <w:start w:val="1"/>
      <w:numFmt w:val="bullet"/>
      <w:lvlText w:val="●"/>
      <w:lvlJc w:val="left"/>
      <w:pPr>
        <w:ind w:left="720" w:firstLine="36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7">
    <w:nsid w:val="641C61F8"/>
    <w:multiLevelType w:val="hybridMultilevel"/>
    <w:tmpl w:val="82F68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EF15CC"/>
    <w:multiLevelType w:val="hybridMultilevel"/>
    <w:tmpl w:val="CF688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F56914"/>
    <w:multiLevelType w:val="multilevel"/>
    <w:tmpl w:val="024ED542"/>
    <w:lvl w:ilvl="0">
      <w:start w:val="1"/>
      <w:numFmt w:val="bullet"/>
      <w:lvlText w:val="●"/>
      <w:lvlJc w:val="left"/>
      <w:pPr>
        <w:ind w:left="720" w:firstLine="36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ambria" w:eastAsia="Cambria" w:hAnsi="Cambria" w:cs="Cambri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2D8"/>
    <w:rsid w:val="000139E6"/>
    <w:rsid w:val="000660DC"/>
    <w:rsid w:val="000B66E1"/>
    <w:rsid w:val="000C1BD4"/>
    <w:rsid w:val="000D6D26"/>
    <w:rsid w:val="000E1C51"/>
    <w:rsid w:val="000F2F0A"/>
    <w:rsid w:val="001504B4"/>
    <w:rsid w:val="0016072A"/>
    <w:rsid w:val="00165F17"/>
    <w:rsid w:val="00176527"/>
    <w:rsid w:val="00187E4B"/>
    <w:rsid w:val="001E602D"/>
    <w:rsid w:val="0020631B"/>
    <w:rsid w:val="00212028"/>
    <w:rsid w:val="00251365"/>
    <w:rsid w:val="002542EA"/>
    <w:rsid w:val="00284984"/>
    <w:rsid w:val="002A175D"/>
    <w:rsid w:val="002A733D"/>
    <w:rsid w:val="00310655"/>
    <w:rsid w:val="00327854"/>
    <w:rsid w:val="00343CAD"/>
    <w:rsid w:val="003C3CEB"/>
    <w:rsid w:val="003D7C08"/>
    <w:rsid w:val="003E14D8"/>
    <w:rsid w:val="00455F76"/>
    <w:rsid w:val="0046686B"/>
    <w:rsid w:val="00473ACB"/>
    <w:rsid w:val="004C1776"/>
    <w:rsid w:val="00550BBD"/>
    <w:rsid w:val="005643B3"/>
    <w:rsid w:val="005A4C44"/>
    <w:rsid w:val="005D6DED"/>
    <w:rsid w:val="0062561C"/>
    <w:rsid w:val="00666A32"/>
    <w:rsid w:val="0068002A"/>
    <w:rsid w:val="006C2F5D"/>
    <w:rsid w:val="006C32D8"/>
    <w:rsid w:val="006C38B9"/>
    <w:rsid w:val="007127CE"/>
    <w:rsid w:val="00722D79"/>
    <w:rsid w:val="0078476D"/>
    <w:rsid w:val="00794C91"/>
    <w:rsid w:val="007A7360"/>
    <w:rsid w:val="007F4D0C"/>
    <w:rsid w:val="007F5C86"/>
    <w:rsid w:val="007F72E3"/>
    <w:rsid w:val="00846948"/>
    <w:rsid w:val="008671A3"/>
    <w:rsid w:val="008C3F7F"/>
    <w:rsid w:val="008E05E9"/>
    <w:rsid w:val="00907F52"/>
    <w:rsid w:val="009A4F2D"/>
    <w:rsid w:val="009B2F44"/>
    <w:rsid w:val="009F5E29"/>
    <w:rsid w:val="00A27965"/>
    <w:rsid w:val="00A61130"/>
    <w:rsid w:val="00AE72AF"/>
    <w:rsid w:val="00BC1318"/>
    <w:rsid w:val="00C24129"/>
    <w:rsid w:val="00C47663"/>
    <w:rsid w:val="00CA5980"/>
    <w:rsid w:val="00CB253D"/>
    <w:rsid w:val="00CC55D9"/>
    <w:rsid w:val="00D574D6"/>
    <w:rsid w:val="00D74037"/>
    <w:rsid w:val="00D8566F"/>
    <w:rsid w:val="00DB6835"/>
    <w:rsid w:val="00DF5FA4"/>
    <w:rsid w:val="00E142A6"/>
    <w:rsid w:val="00E57C34"/>
    <w:rsid w:val="00E92D5E"/>
    <w:rsid w:val="00E96651"/>
    <w:rsid w:val="00EC7C32"/>
    <w:rsid w:val="00F80689"/>
    <w:rsid w:val="00FE0190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ECB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2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32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39E6"/>
    <w:rPr>
      <w:color w:val="0000FF" w:themeColor="hyperlink"/>
      <w:u w:val="single"/>
    </w:rPr>
  </w:style>
  <w:style w:type="paragraph" w:customStyle="1" w:styleId="normal0">
    <w:name w:val="normal"/>
    <w:rsid w:val="001E602D"/>
    <w:pPr>
      <w:spacing w:after="0"/>
    </w:pPr>
    <w:rPr>
      <w:rFonts w:ascii="Cambria" w:eastAsia="Cambria" w:hAnsi="Cambria" w:cs="Cambria"/>
      <w:color w:val="000000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2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32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39E6"/>
    <w:rPr>
      <w:color w:val="0000FF" w:themeColor="hyperlink"/>
      <w:u w:val="single"/>
    </w:rPr>
  </w:style>
  <w:style w:type="paragraph" w:customStyle="1" w:styleId="normal0">
    <w:name w:val="normal"/>
    <w:rsid w:val="001E602D"/>
    <w:pPr>
      <w:spacing w:after="0"/>
    </w:pPr>
    <w:rPr>
      <w:rFonts w:ascii="Cambria" w:eastAsia="Cambria" w:hAnsi="Cambria" w:cs="Cambria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284</Words>
  <Characters>1623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Foothills School Division #38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Mark Race</cp:lastModifiedBy>
  <cp:revision>4</cp:revision>
  <cp:lastPrinted>2011-12-19T16:28:00Z</cp:lastPrinted>
  <dcterms:created xsi:type="dcterms:W3CDTF">2013-01-21T15:01:00Z</dcterms:created>
  <dcterms:modified xsi:type="dcterms:W3CDTF">2013-01-21T15:07:00Z</dcterms:modified>
</cp:coreProperties>
</file>